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9CEFB" w14:textId="77777777" w:rsidR="00735971" w:rsidRPr="00735971" w:rsidRDefault="00735971" w:rsidP="00735971">
      <w:pPr>
        <w:rPr>
          <w:b/>
          <w:bCs/>
        </w:rPr>
      </w:pPr>
      <w:bookmarkStart w:id="0" w:name="_GoBack"/>
      <w:r w:rsidRPr="00735971">
        <w:rPr>
          <w:b/>
          <w:bCs/>
        </w:rPr>
        <w:t>Stakeholder Engagement and Consultation Report</w:t>
      </w:r>
    </w:p>
    <w:bookmarkEnd w:id="0"/>
    <w:p w14:paraId="3F766440" w14:textId="77777777" w:rsidR="00735971" w:rsidRPr="00735971" w:rsidRDefault="00735971" w:rsidP="00735971">
      <w:r w:rsidRPr="00735971">
        <w:rPr>
          <w:b/>
          <w:bCs/>
        </w:rPr>
        <w:t>November 2025</w:t>
      </w:r>
    </w:p>
    <w:p w14:paraId="3BF0C8C3" w14:textId="77777777" w:rsidR="00735971" w:rsidRPr="00735971" w:rsidRDefault="00AA4F4B" w:rsidP="00735971">
      <w:r>
        <w:pict w14:anchorId="333FF317">
          <v:rect id="_x0000_i1025" style="width:0;height:1.5pt" o:hralign="center" o:hrstd="t" o:hr="t" fillcolor="#a0a0a0" stroked="f"/>
        </w:pict>
      </w:r>
    </w:p>
    <w:p w14:paraId="1F52AEB1" w14:textId="77777777" w:rsidR="00735971" w:rsidRPr="00735971" w:rsidRDefault="00735971" w:rsidP="00735971">
      <w:pPr>
        <w:rPr>
          <w:b/>
          <w:bCs/>
        </w:rPr>
      </w:pPr>
      <w:r w:rsidRPr="00735971">
        <w:rPr>
          <w:b/>
          <w:bCs/>
        </w:rPr>
        <w:t>Introduction</w:t>
      </w:r>
    </w:p>
    <w:p w14:paraId="42048B93" w14:textId="77777777" w:rsidR="00735971" w:rsidRPr="00735971" w:rsidRDefault="00735971" w:rsidP="00735971">
      <w:r w:rsidRPr="00735971">
        <w:t xml:space="preserve">This report summarises the consultation process undertaken by the Governing Body of </w:t>
      </w:r>
      <w:proofErr w:type="spellStart"/>
      <w:r w:rsidRPr="00735971">
        <w:rPr>
          <w:b/>
          <w:bCs/>
        </w:rPr>
        <w:t>Teynham</w:t>
      </w:r>
      <w:proofErr w:type="spellEnd"/>
      <w:r w:rsidRPr="00735971">
        <w:rPr>
          <w:b/>
          <w:bCs/>
        </w:rPr>
        <w:t xml:space="preserve"> Parochial </w:t>
      </w:r>
      <w:proofErr w:type="spellStart"/>
      <w:r w:rsidRPr="00735971">
        <w:rPr>
          <w:b/>
          <w:bCs/>
        </w:rPr>
        <w:t>CofE</w:t>
      </w:r>
      <w:proofErr w:type="spellEnd"/>
      <w:r w:rsidRPr="00735971">
        <w:rPr>
          <w:b/>
          <w:bCs/>
        </w:rPr>
        <w:t xml:space="preserve"> Primary School</w:t>
      </w:r>
      <w:r w:rsidRPr="00735971">
        <w:t xml:space="preserve"> regarding its proposal to convert to academy status by joining the EKC Schools Trust.</w:t>
      </w:r>
    </w:p>
    <w:p w14:paraId="436B66FC" w14:textId="77777777" w:rsidR="00735971" w:rsidRPr="00735971" w:rsidRDefault="00735971" w:rsidP="00735971">
      <w:r w:rsidRPr="00735971">
        <w:t xml:space="preserve">The consultation period ran for </w:t>
      </w:r>
      <w:r w:rsidRPr="00735971">
        <w:rPr>
          <w:b/>
          <w:bCs/>
        </w:rPr>
        <w:t>seven weeks (22 September – 31 October 2025)</w:t>
      </w:r>
      <w:r w:rsidRPr="00735971">
        <w:t>. Letters were issued to parents/carers and staff, and opportunities were provided for stakeholders to attend meetings, ask questions, and share views. Governors sought to ensure transparency and accessibility throughout the process, offering both group and individual meetings.</w:t>
      </w:r>
    </w:p>
    <w:p w14:paraId="0A5AB08F" w14:textId="128EF6FD" w:rsidR="00735971" w:rsidRPr="00735971" w:rsidRDefault="00735971" w:rsidP="00735971"/>
    <w:p w14:paraId="54341DB6" w14:textId="77777777" w:rsidR="00735971" w:rsidRPr="00735971" w:rsidRDefault="00735971" w:rsidP="00735971">
      <w:pPr>
        <w:rPr>
          <w:b/>
          <w:bCs/>
        </w:rPr>
      </w:pPr>
      <w:r w:rsidRPr="00735971">
        <w:rPr>
          <w:b/>
          <w:bCs/>
        </w:rPr>
        <w:t>Consultation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1"/>
        <w:gridCol w:w="4165"/>
        <w:gridCol w:w="3870"/>
      </w:tblGrid>
      <w:tr w:rsidR="00735971" w:rsidRPr="00735971" w14:paraId="2D063C13" w14:textId="77777777">
        <w:trPr>
          <w:tblHeader/>
          <w:tblCellSpacing w:w="15" w:type="dxa"/>
        </w:trPr>
        <w:tc>
          <w:tcPr>
            <w:tcW w:w="0" w:type="auto"/>
            <w:vAlign w:val="center"/>
            <w:hideMark/>
          </w:tcPr>
          <w:p w14:paraId="6E64BF0F" w14:textId="77777777" w:rsidR="00735971" w:rsidRPr="00735971" w:rsidRDefault="00735971" w:rsidP="00735971">
            <w:pPr>
              <w:rPr>
                <w:b/>
                <w:bCs/>
              </w:rPr>
            </w:pPr>
            <w:r w:rsidRPr="00735971">
              <w:rPr>
                <w:b/>
                <w:bCs/>
              </w:rPr>
              <w:t>Date</w:t>
            </w:r>
          </w:p>
        </w:tc>
        <w:tc>
          <w:tcPr>
            <w:tcW w:w="0" w:type="auto"/>
            <w:vAlign w:val="center"/>
            <w:hideMark/>
          </w:tcPr>
          <w:p w14:paraId="2A028A87" w14:textId="77777777" w:rsidR="00735971" w:rsidRPr="00735971" w:rsidRDefault="00735971" w:rsidP="00735971">
            <w:pPr>
              <w:rPr>
                <w:b/>
                <w:bCs/>
              </w:rPr>
            </w:pPr>
            <w:r w:rsidRPr="00735971">
              <w:rPr>
                <w:b/>
                <w:bCs/>
              </w:rPr>
              <w:t>Activity</w:t>
            </w:r>
          </w:p>
        </w:tc>
        <w:tc>
          <w:tcPr>
            <w:tcW w:w="0" w:type="auto"/>
            <w:vAlign w:val="center"/>
            <w:hideMark/>
          </w:tcPr>
          <w:p w14:paraId="3E891C0F" w14:textId="77777777" w:rsidR="00735971" w:rsidRPr="00735971" w:rsidRDefault="00735971" w:rsidP="00735971">
            <w:pPr>
              <w:rPr>
                <w:b/>
                <w:bCs/>
              </w:rPr>
            </w:pPr>
            <w:r w:rsidRPr="00735971">
              <w:rPr>
                <w:b/>
                <w:bCs/>
              </w:rPr>
              <w:t>Purpose</w:t>
            </w:r>
          </w:p>
        </w:tc>
      </w:tr>
      <w:tr w:rsidR="00735971" w:rsidRPr="00735971" w14:paraId="774C2BCC" w14:textId="77777777">
        <w:trPr>
          <w:tblCellSpacing w:w="15" w:type="dxa"/>
        </w:trPr>
        <w:tc>
          <w:tcPr>
            <w:tcW w:w="0" w:type="auto"/>
            <w:vAlign w:val="center"/>
            <w:hideMark/>
          </w:tcPr>
          <w:p w14:paraId="633B6976" w14:textId="77777777" w:rsidR="00735971" w:rsidRPr="00735971" w:rsidRDefault="00735971" w:rsidP="00735971">
            <w:r w:rsidRPr="00735971">
              <w:t>22/09/25</w:t>
            </w:r>
          </w:p>
        </w:tc>
        <w:tc>
          <w:tcPr>
            <w:tcW w:w="0" w:type="auto"/>
            <w:vAlign w:val="center"/>
            <w:hideMark/>
          </w:tcPr>
          <w:p w14:paraId="7949B56C" w14:textId="77777777" w:rsidR="00735971" w:rsidRPr="00735971" w:rsidRDefault="00735971" w:rsidP="00735971">
            <w:r w:rsidRPr="00735971">
              <w:t>Letters sent to parents/carers and staff</w:t>
            </w:r>
          </w:p>
        </w:tc>
        <w:tc>
          <w:tcPr>
            <w:tcW w:w="0" w:type="auto"/>
            <w:vAlign w:val="center"/>
            <w:hideMark/>
          </w:tcPr>
          <w:p w14:paraId="1BC1DD1C" w14:textId="77777777" w:rsidR="00735971" w:rsidRPr="00735971" w:rsidRDefault="00735971" w:rsidP="00735971">
            <w:r w:rsidRPr="00735971">
              <w:t>To inform stakeholders of the proposal and consultation process</w:t>
            </w:r>
          </w:p>
        </w:tc>
      </w:tr>
      <w:tr w:rsidR="00735971" w:rsidRPr="00735971" w14:paraId="682B3659" w14:textId="77777777">
        <w:trPr>
          <w:tblCellSpacing w:w="15" w:type="dxa"/>
        </w:trPr>
        <w:tc>
          <w:tcPr>
            <w:tcW w:w="0" w:type="auto"/>
            <w:vAlign w:val="center"/>
            <w:hideMark/>
          </w:tcPr>
          <w:p w14:paraId="40392CE4" w14:textId="77777777" w:rsidR="00735971" w:rsidRPr="00735971" w:rsidRDefault="00735971" w:rsidP="00735971">
            <w:r w:rsidRPr="00735971">
              <w:t>23/09/25</w:t>
            </w:r>
          </w:p>
        </w:tc>
        <w:tc>
          <w:tcPr>
            <w:tcW w:w="0" w:type="auto"/>
            <w:vAlign w:val="center"/>
            <w:hideMark/>
          </w:tcPr>
          <w:p w14:paraId="6C7C035D" w14:textId="77777777" w:rsidR="00735971" w:rsidRPr="00735971" w:rsidRDefault="00735971" w:rsidP="00735971">
            <w:r w:rsidRPr="00735971">
              <w:t>Follow-up letters with FAQs</w:t>
            </w:r>
          </w:p>
        </w:tc>
        <w:tc>
          <w:tcPr>
            <w:tcW w:w="0" w:type="auto"/>
            <w:vAlign w:val="center"/>
            <w:hideMark/>
          </w:tcPr>
          <w:p w14:paraId="6C99ED23" w14:textId="77777777" w:rsidR="00735971" w:rsidRPr="00735971" w:rsidRDefault="00735971" w:rsidP="00735971">
            <w:r w:rsidRPr="00735971">
              <w:t>To provide additional clarity and encourage engagement</w:t>
            </w:r>
          </w:p>
        </w:tc>
      </w:tr>
      <w:tr w:rsidR="00735971" w:rsidRPr="00735971" w14:paraId="00CA0D73" w14:textId="77777777">
        <w:trPr>
          <w:tblCellSpacing w:w="15" w:type="dxa"/>
        </w:trPr>
        <w:tc>
          <w:tcPr>
            <w:tcW w:w="0" w:type="auto"/>
            <w:vAlign w:val="center"/>
            <w:hideMark/>
          </w:tcPr>
          <w:p w14:paraId="5CD0DE0E" w14:textId="77777777" w:rsidR="00735971" w:rsidRPr="00735971" w:rsidRDefault="00735971" w:rsidP="00735971">
            <w:r w:rsidRPr="00735971">
              <w:t>09/10/25</w:t>
            </w:r>
          </w:p>
        </w:tc>
        <w:tc>
          <w:tcPr>
            <w:tcW w:w="0" w:type="auto"/>
            <w:vAlign w:val="center"/>
            <w:hideMark/>
          </w:tcPr>
          <w:p w14:paraId="53E3A43D" w14:textId="77777777" w:rsidR="00735971" w:rsidRPr="00735971" w:rsidRDefault="00735971" w:rsidP="00735971">
            <w:r w:rsidRPr="00735971">
              <w:t>Staff meeting with Tammy Mitchell (CEO, EKC Schools Trust)</w:t>
            </w:r>
          </w:p>
        </w:tc>
        <w:tc>
          <w:tcPr>
            <w:tcW w:w="0" w:type="auto"/>
            <w:vAlign w:val="center"/>
            <w:hideMark/>
          </w:tcPr>
          <w:p w14:paraId="5F209A3D" w14:textId="77777777" w:rsidR="00735971" w:rsidRPr="00735971" w:rsidRDefault="00735971" w:rsidP="00735971">
            <w:r w:rsidRPr="00735971">
              <w:t>To answer staff questions and provide reassurance</w:t>
            </w:r>
          </w:p>
        </w:tc>
      </w:tr>
      <w:tr w:rsidR="00735971" w:rsidRPr="00735971" w14:paraId="3363AAED" w14:textId="77777777">
        <w:trPr>
          <w:tblCellSpacing w:w="15" w:type="dxa"/>
        </w:trPr>
        <w:tc>
          <w:tcPr>
            <w:tcW w:w="0" w:type="auto"/>
            <w:vAlign w:val="center"/>
            <w:hideMark/>
          </w:tcPr>
          <w:p w14:paraId="6272AED8" w14:textId="77777777" w:rsidR="00735971" w:rsidRPr="00735971" w:rsidRDefault="00735971" w:rsidP="00735971">
            <w:r w:rsidRPr="00735971">
              <w:t>14/10/25</w:t>
            </w:r>
          </w:p>
        </w:tc>
        <w:tc>
          <w:tcPr>
            <w:tcW w:w="0" w:type="auto"/>
            <w:vAlign w:val="center"/>
            <w:hideMark/>
          </w:tcPr>
          <w:p w14:paraId="64AA8BE7" w14:textId="4FFF86CE" w:rsidR="00735971" w:rsidRPr="00735971" w:rsidRDefault="00735971" w:rsidP="00735971">
            <w:r w:rsidRPr="00735971">
              <w:t>Evening parent</w:t>
            </w:r>
            <w:r>
              <w:t>/carer</w:t>
            </w:r>
            <w:r w:rsidRPr="00735971">
              <w:t xml:space="preserve"> consultation</w:t>
            </w:r>
          </w:p>
        </w:tc>
        <w:tc>
          <w:tcPr>
            <w:tcW w:w="0" w:type="auto"/>
            <w:vAlign w:val="center"/>
            <w:hideMark/>
          </w:tcPr>
          <w:p w14:paraId="7DC616BF" w14:textId="77777777" w:rsidR="00735971" w:rsidRPr="00735971" w:rsidRDefault="00735971" w:rsidP="00735971">
            <w:r w:rsidRPr="00735971">
              <w:t>Open meeting for parents/carers</w:t>
            </w:r>
          </w:p>
        </w:tc>
      </w:tr>
      <w:tr w:rsidR="00735971" w:rsidRPr="00735971" w14:paraId="6E91C7EE" w14:textId="77777777">
        <w:trPr>
          <w:tblCellSpacing w:w="15" w:type="dxa"/>
        </w:trPr>
        <w:tc>
          <w:tcPr>
            <w:tcW w:w="0" w:type="auto"/>
            <w:vAlign w:val="center"/>
            <w:hideMark/>
          </w:tcPr>
          <w:p w14:paraId="11A12496" w14:textId="77777777" w:rsidR="00735971" w:rsidRPr="00735971" w:rsidRDefault="00735971" w:rsidP="00735971">
            <w:r w:rsidRPr="00735971">
              <w:t>16/10/25</w:t>
            </w:r>
          </w:p>
        </w:tc>
        <w:tc>
          <w:tcPr>
            <w:tcW w:w="0" w:type="auto"/>
            <w:vAlign w:val="center"/>
            <w:hideMark/>
          </w:tcPr>
          <w:p w14:paraId="6E0543D7" w14:textId="385809C7" w:rsidR="00735971" w:rsidRPr="00735971" w:rsidRDefault="00735971" w:rsidP="00735971">
            <w:r w:rsidRPr="00735971">
              <w:t>Daytime parent</w:t>
            </w:r>
            <w:r>
              <w:t>/carer</w:t>
            </w:r>
            <w:r w:rsidRPr="00735971">
              <w:t xml:space="preserve"> consultation</w:t>
            </w:r>
          </w:p>
        </w:tc>
        <w:tc>
          <w:tcPr>
            <w:tcW w:w="0" w:type="auto"/>
            <w:vAlign w:val="center"/>
            <w:hideMark/>
          </w:tcPr>
          <w:p w14:paraId="5B087588" w14:textId="77777777" w:rsidR="00735971" w:rsidRPr="00735971" w:rsidRDefault="00735971" w:rsidP="00735971">
            <w:r w:rsidRPr="00735971">
              <w:t>Open meeting for parents/carers</w:t>
            </w:r>
          </w:p>
        </w:tc>
      </w:tr>
      <w:tr w:rsidR="00735971" w:rsidRPr="00735971" w14:paraId="7DFC6879" w14:textId="77777777">
        <w:trPr>
          <w:tblCellSpacing w:w="15" w:type="dxa"/>
        </w:trPr>
        <w:tc>
          <w:tcPr>
            <w:tcW w:w="0" w:type="auto"/>
            <w:vAlign w:val="center"/>
            <w:hideMark/>
          </w:tcPr>
          <w:p w14:paraId="69AFFA62" w14:textId="77777777" w:rsidR="00735971" w:rsidRPr="00735971" w:rsidRDefault="00735971" w:rsidP="00735971">
            <w:r w:rsidRPr="00735971">
              <w:t>Sept–Oct</w:t>
            </w:r>
          </w:p>
        </w:tc>
        <w:tc>
          <w:tcPr>
            <w:tcW w:w="0" w:type="auto"/>
            <w:vAlign w:val="center"/>
            <w:hideMark/>
          </w:tcPr>
          <w:p w14:paraId="1F25646F" w14:textId="3D442AF2" w:rsidR="00735971" w:rsidRPr="00735971" w:rsidRDefault="00735971" w:rsidP="00735971">
            <w:r w:rsidRPr="00735971">
              <w:t xml:space="preserve">1:1 </w:t>
            </w:r>
            <w:proofErr w:type="gramStart"/>
            <w:r w:rsidRPr="00735971">
              <w:t>meetings</w:t>
            </w:r>
            <w:proofErr w:type="gramEnd"/>
            <w:r w:rsidRPr="00735971">
              <w:t xml:space="preserve"> offered </w:t>
            </w:r>
            <w:r>
              <w:t xml:space="preserve">to staff </w:t>
            </w:r>
            <w:r w:rsidRPr="00735971">
              <w:t>with Headteacher and Chair of Governors</w:t>
            </w:r>
          </w:p>
        </w:tc>
        <w:tc>
          <w:tcPr>
            <w:tcW w:w="0" w:type="auto"/>
            <w:vAlign w:val="center"/>
            <w:hideMark/>
          </w:tcPr>
          <w:p w14:paraId="788AC033" w14:textId="77777777" w:rsidR="00735971" w:rsidRPr="00735971" w:rsidRDefault="00735971" w:rsidP="00735971">
            <w:r w:rsidRPr="00735971">
              <w:t>To address individual queries and concerns</w:t>
            </w:r>
          </w:p>
        </w:tc>
      </w:tr>
    </w:tbl>
    <w:p w14:paraId="5740E537" w14:textId="73587B0E" w:rsidR="00735971" w:rsidRPr="00735971" w:rsidRDefault="00735971" w:rsidP="00735971"/>
    <w:p w14:paraId="6FA6412D" w14:textId="77777777" w:rsidR="00735971" w:rsidRPr="00735971" w:rsidRDefault="00735971" w:rsidP="00735971">
      <w:pPr>
        <w:rPr>
          <w:b/>
          <w:bCs/>
        </w:rPr>
      </w:pPr>
      <w:r w:rsidRPr="00735971">
        <w:rPr>
          <w:b/>
          <w:bCs/>
        </w:rPr>
        <w:t>Summary of Engagement</w:t>
      </w:r>
    </w:p>
    <w:p w14:paraId="581F3F27" w14:textId="77777777" w:rsidR="00735971" w:rsidRPr="00735971" w:rsidRDefault="00735971" w:rsidP="00735971">
      <w:pPr>
        <w:numPr>
          <w:ilvl w:val="0"/>
          <w:numId w:val="1"/>
        </w:numPr>
      </w:pPr>
      <w:r w:rsidRPr="00735971">
        <w:rPr>
          <w:b/>
          <w:bCs/>
        </w:rPr>
        <w:t>Parent attendance at meetings:</w:t>
      </w:r>
      <w:r w:rsidRPr="00735971">
        <w:t xml:space="preserve"> 1 parent attended the daytime consultation; no parents attended the evening session.</w:t>
      </w:r>
    </w:p>
    <w:p w14:paraId="41C692E9" w14:textId="77777777" w:rsidR="00735971" w:rsidRPr="00735971" w:rsidRDefault="00735971" w:rsidP="00735971">
      <w:pPr>
        <w:numPr>
          <w:ilvl w:val="0"/>
          <w:numId w:val="1"/>
        </w:numPr>
      </w:pPr>
      <w:r w:rsidRPr="00735971">
        <w:rPr>
          <w:b/>
          <w:bCs/>
        </w:rPr>
        <w:t>Staff engagement:</w:t>
      </w:r>
      <w:r w:rsidRPr="00735971">
        <w:t xml:space="preserve"> Several staff attended the meeting with the CEO; additional 1:1 </w:t>
      </w:r>
      <w:proofErr w:type="gramStart"/>
      <w:r w:rsidRPr="00735971">
        <w:t>discussions</w:t>
      </w:r>
      <w:proofErr w:type="gramEnd"/>
      <w:r w:rsidRPr="00735971">
        <w:t xml:space="preserve"> took place with governors.</w:t>
      </w:r>
    </w:p>
    <w:p w14:paraId="79FEC304" w14:textId="2FA4E326" w:rsidR="00735971" w:rsidRPr="00735971" w:rsidRDefault="00735971" w:rsidP="00735971">
      <w:pPr>
        <w:numPr>
          <w:ilvl w:val="0"/>
          <w:numId w:val="1"/>
        </w:numPr>
      </w:pPr>
      <w:r w:rsidRPr="00735971">
        <w:rPr>
          <w:b/>
          <w:bCs/>
        </w:rPr>
        <w:lastRenderedPageBreak/>
        <w:t>Written feedback:</w:t>
      </w:r>
      <w:r w:rsidRPr="00735971">
        <w:t xml:space="preserve"> One detailed email from a parent </w:t>
      </w:r>
      <w:r>
        <w:t>providing feedback on the consultation communication</w:t>
      </w:r>
      <w:r w:rsidRPr="00735971">
        <w:t>.</w:t>
      </w:r>
    </w:p>
    <w:p w14:paraId="3D8C7082" w14:textId="77777777" w:rsidR="00735971" w:rsidRPr="00735971" w:rsidRDefault="00735971" w:rsidP="00735971">
      <w:pPr>
        <w:numPr>
          <w:ilvl w:val="0"/>
          <w:numId w:val="1"/>
        </w:numPr>
      </w:pPr>
      <w:r w:rsidRPr="00735971">
        <w:rPr>
          <w:b/>
          <w:bCs/>
        </w:rPr>
        <w:t>Informal feedback:</w:t>
      </w:r>
      <w:r w:rsidRPr="00735971">
        <w:t xml:space="preserve"> Questions raised on the playground and at parents’ evening.</w:t>
      </w:r>
    </w:p>
    <w:p w14:paraId="4FC4EF09" w14:textId="77777777" w:rsidR="00735971" w:rsidRPr="00735971" w:rsidRDefault="00AA4F4B" w:rsidP="00735971">
      <w:r>
        <w:pict w14:anchorId="73215F3A">
          <v:rect id="_x0000_i1026" style="width:0;height:1.5pt" o:hralign="center" o:hrstd="t" o:hr="t" fillcolor="#a0a0a0" stroked="f"/>
        </w:pict>
      </w:r>
    </w:p>
    <w:p w14:paraId="511314DE" w14:textId="77777777" w:rsidR="00735971" w:rsidRPr="00735971" w:rsidRDefault="00735971" w:rsidP="00735971">
      <w:pPr>
        <w:rPr>
          <w:b/>
          <w:bCs/>
        </w:rPr>
      </w:pPr>
      <w:r w:rsidRPr="00735971">
        <w:rPr>
          <w:b/>
          <w:bCs/>
        </w:rPr>
        <w:t>Key Themes Raised During Consultation</w:t>
      </w:r>
    </w:p>
    <w:p w14:paraId="6414785D" w14:textId="77777777" w:rsidR="00735971" w:rsidRPr="00735971" w:rsidRDefault="00735971" w:rsidP="00735971">
      <w:pPr>
        <w:numPr>
          <w:ilvl w:val="0"/>
          <w:numId w:val="2"/>
        </w:numPr>
      </w:pPr>
      <w:r w:rsidRPr="00735971">
        <w:rPr>
          <w:b/>
          <w:bCs/>
        </w:rPr>
        <w:t>Church of England Status</w:t>
      </w:r>
    </w:p>
    <w:p w14:paraId="005A8153" w14:textId="77777777" w:rsidR="00735971" w:rsidRPr="00735971" w:rsidRDefault="00735971" w:rsidP="00735971">
      <w:pPr>
        <w:numPr>
          <w:ilvl w:val="1"/>
          <w:numId w:val="2"/>
        </w:numPr>
      </w:pPr>
      <w:r w:rsidRPr="00735971">
        <w:t>Parents sought reassurance that the school would remain a Church of England school. Governors confirmed that the school will continue as part of the Diocesan family and retain its Christian ethos.</w:t>
      </w:r>
    </w:p>
    <w:p w14:paraId="2B1FF218" w14:textId="77777777" w:rsidR="00735971" w:rsidRPr="00735971" w:rsidRDefault="00735971" w:rsidP="00735971">
      <w:pPr>
        <w:numPr>
          <w:ilvl w:val="0"/>
          <w:numId w:val="2"/>
        </w:numPr>
      </w:pPr>
      <w:r w:rsidRPr="00735971">
        <w:rPr>
          <w:b/>
          <w:bCs/>
        </w:rPr>
        <w:t>Leadership Continuity</w:t>
      </w:r>
    </w:p>
    <w:p w14:paraId="03974B41" w14:textId="77777777" w:rsidR="00735971" w:rsidRPr="00735971" w:rsidRDefault="00735971" w:rsidP="00735971">
      <w:pPr>
        <w:numPr>
          <w:ilvl w:val="1"/>
          <w:numId w:val="2"/>
        </w:numPr>
      </w:pPr>
      <w:r w:rsidRPr="00735971">
        <w:t>Parents asked whether the current Headteacher would remain in post. Governors confirmed there is no intention to change leadership as a result of conversion.</w:t>
      </w:r>
    </w:p>
    <w:p w14:paraId="5E2EB7E1" w14:textId="77777777" w:rsidR="00735971" w:rsidRPr="00735971" w:rsidRDefault="00735971" w:rsidP="00735971">
      <w:pPr>
        <w:numPr>
          <w:ilvl w:val="0"/>
          <w:numId w:val="2"/>
        </w:numPr>
      </w:pPr>
      <w:r w:rsidRPr="00735971">
        <w:rPr>
          <w:b/>
          <w:bCs/>
        </w:rPr>
        <w:t>Staff Terms and Conditions</w:t>
      </w:r>
    </w:p>
    <w:p w14:paraId="41512694" w14:textId="77777777" w:rsidR="00735971" w:rsidRPr="00735971" w:rsidRDefault="00735971" w:rsidP="00735971">
      <w:pPr>
        <w:numPr>
          <w:ilvl w:val="1"/>
          <w:numId w:val="2"/>
        </w:numPr>
      </w:pPr>
      <w:r w:rsidRPr="00735971">
        <w:t>Questions from both parents and staff about pay, pensions, and contracts. Governors confirmed that staff will transfer under TUPE regulations, retaining existing terms and conditions.</w:t>
      </w:r>
    </w:p>
    <w:p w14:paraId="6141CE8F" w14:textId="77777777" w:rsidR="00735971" w:rsidRPr="00735971" w:rsidRDefault="00735971" w:rsidP="00735971">
      <w:pPr>
        <w:numPr>
          <w:ilvl w:val="0"/>
          <w:numId w:val="2"/>
        </w:numPr>
      </w:pPr>
      <w:r w:rsidRPr="00735971">
        <w:rPr>
          <w:b/>
          <w:bCs/>
        </w:rPr>
        <w:t>Trust Ethos and Communication</w:t>
      </w:r>
    </w:p>
    <w:p w14:paraId="349E3923" w14:textId="77777777" w:rsidR="00735971" w:rsidRPr="00735971" w:rsidRDefault="00735971" w:rsidP="00735971">
      <w:pPr>
        <w:numPr>
          <w:ilvl w:val="1"/>
          <w:numId w:val="2"/>
        </w:numPr>
      </w:pPr>
      <w:r w:rsidRPr="00735971">
        <w:t>One parent expressed concern about the tone of letters and perceived lack of personalisation. Governors acknowledged this feedback and will review future communications to ensure they reflect the school’s voice.</w:t>
      </w:r>
    </w:p>
    <w:p w14:paraId="3502D0DA" w14:textId="4A8E3CC1" w:rsidR="00735971" w:rsidRPr="00735971" w:rsidRDefault="00735971" w:rsidP="00735971"/>
    <w:p w14:paraId="48130C91" w14:textId="77777777" w:rsidR="00735971" w:rsidRPr="00735971" w:rsidRDefault="00735971" w:rsidP="00735971">
      <w:pPr>
        <w:rPr>
          <w:b/>
          <w:bCs/>
        </w:rPr>
      </w:pPr>
      <w:r w:rsidRPr="00735971">
        <w:rPr>
          <w:b/>
          <w:bCs/>
        </w:rPr>
        <w:t>Summary of Stakeholder Views</w:t>
      </w:r>
    </w:p>
    <w:p w14:paraId="4018EACE" w14:textId="336A71A7" w:rsidR="00735971" w:rsidRPr="00735971" w:rsidRDefault="00735971" w:rsidP="00735971">
      <w:r w:rsidRPr="00735971">
        <w:t>While overall engagement was limited, the feedback we received was thoughtful and constructive. Parents</w:t>
      </w:r>
      <w:r>
        <w:t xml:space="preserve"> and carers, </w:t>
      </w:r>
      <w:r w:rsidRPr="00735971">
        <w:t xml:space="preserve">and staff focused on key areas of reassurance: maintaining our Church of England status, continuity of leadership, and protection of staff terms and conditions. </w:t>
      </w:r>
      <w:r>
        <w:t xml:space="preserve">Stakeholders </w:t>
      </w:r>
      <w:r w:rsidR="00833904">
        <w:t>received clear,</w:t>
      </w:r>
      <w:r w:rsidRPr="00735971">
        <w:t xml:space="preserve"> confident responses to these questions, reinforcing that the school will retain its Christian ethos, leadership stability, and staff welfare.</w:t>
      </w:r>
    </w:p>
    <w:p w14:paraId="16F4ABC5" w14:textId="4EED04CA" w:rsidR="00735971" w:rsidRPr="00735971" w:rsidRDefault="00735971" w:rsidP="00735971">
      <w:r w:rsidRPr="00735971">
        <w:t>Although only a small number of stakeholders attended meetings or submitted written feedback, those who did engage expressed a genuine interest in understanding the proposal</w:t>
      </w:r>
      <w:r w:rsidR="00833904">
        <w:t xml:space="preserve"> and welcomed further clarity on the </w:t>
      </w:r>
      <w:r w:rsidRPr="00735971">
        <w:t>benefits of joining a local trust with values that align closely to our own, including enhanced opportunities for pupils and staff, and strengthened support for school improvement.</w:t>
      </w:r>
    </w:p>
    <w:p w14:paraId="34F9F84C" w14:textId="641020CA" w:rsidR="00735971" w:rsidRPr="00735971" w:rsidRDefault="00735971" w:rsidP="00735971"/>
    <w:p w14:paraId="74B745DC" w14:textId="77777777" w:rsidR="00735971" w:rsidRPr="00735971" w:rsidRDefault="00735971" w:rsidP="00735971">
      <w:pPr>
        <w:rPr>
          <w:b/>
          <w:bCs/>
        </w:rPr>
      </w:pPr>
      <w:r w:rsidRPr="00735971">
        <w:rPr>
          <w:b/>
          <w:bCs/>
        </w:rPr>
        <w:t>Conclusion</w:t>
      </w:r>
    </w:p>
    <w:p w14:paraId="43818EB0" w14:textId="2598C1DC" w:rsidR="00833904" w:rsidRPr="00833904" w:rsidRDefault="00833904" w:rsidP="00833904">
      <w:r>
        <w:t>F</w:t>
      </w:r>
      <w:r w:rsidRPr="00833904">
        <w:t>ollowing the consultation, the Governing Body is satisfied that the concerns raised have been addressed and that there is a clear mandate to proceed. While engagement was modest, the feedback received was constructive and focused on key areas of reassurance, which governors have responded to fully.</w:t>
      </w:r>
    </w:p>
    <w:p w14:paraId="5C4BC489" w14:textId="622E4EFA" w:rsidR="00833904" w:rsidRPr="00833904" w:rsidRDefault="00833904" w:rsidP="00833904">
      <w:r w:rsidRPr="00833904">
        <w:t xml:space="preserve">We will keep parents, carers, and staff informed throughout the next stages of the process. At present, we are aiming for </w:t>
      </w:r>
      <w:proofErr w:type="spellStart"/>
      <w:r w:rsidRPr="00833904">
        <w:t>Teynham</w:t>
      </w:r>
      <w:proofErr w:type="spellEnd"/>
      <w:r w:rsidRPr="00833904">
        <w:t xml:space="preserve"> Parochial </w:t>
      </w:r>
      <w:proofErr w:type="spellStart"/>
      <w:r w:rsidRPr="00833904">
        <w:t>CofE</w:t>
      </w:r>
      <w:proofErr w:type="spellEnd"/>
      <w:r w:rsidRPr="00833904">
        <w:t xml:space="preserve"> Primary School to join EKC Schools Trust</w:t>
      </w:r>
      <w:r>
        <w:t xml:space="preserve"> on 1</w:t>
      </w:r>
      <w:r w:rsidRPr="00833904">
        <w:rPr>
          <w:vertAlign w:val="superscript"/>
        </w:rPr>
        <w:t>st</w:t>
      </w:r>
      <w:r>
        <w:t xml:space="preserve"> April 2026.</w:t>
      </w:r>
    </w:p>
    <w:p w14:paraId="61BFAA5D" w14:textId="77777777" w:rsidR="00833904" w:rsidRPr="00833904" w:rsidRDefault="00833904" w:rsidP="00833904">
      <w:r w:rsidRPr="00833904">
        <w:t>The Governing Body and Senior Leadership Team would like to thank parents, carers, and staff for their engagement and continued support for the school as we take this important step towards securing its long-term success.</w:t>
      </w:r>
    </w:p>
    <w:p w14:paraId="4EE47A25" w14:textId="77777777" w:rsidR="00670329" w:rsidRDefault="00670329"/>
    <w:sectPr w:rsidR="00670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404CC"/>
    <w:multiLevelType w:val="multilevel"/>
    <w:tmpl w:val="908CC6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E313FA"/>
    <w:multiLevelType w:val="multilevel"/>
    <w:tmpl w:val="455A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71"/>
    <w:rsid w:val="002811AE"/>
    <w:rsid w:val="00624D9D"/>
    <w:rsid w:val="00670329"/>
    <w:rsid w:val="00735971"/>
    <w:rsid w:val="00833904"/>
    <w:rsid w:val="00AA4F4B"/>
    <w:rsid w:val="00E8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62084BB"/>
  <w15:chartTrackingRefBased/>
  <w15:docId w15:val="{CA6D62FA-7D8B-48B1-A678-07FC694D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971"/>
    <w:rPr>
      <w:rFonts w:eastAsiaTheme="majorEastAsia" w:cstheme="majorBidi"/>
      <w:color w:val="272727" w:themeColor="text1" w:themeTint="D8"/>
    </w:rPr>
  </w:style>
  <w:style w:type="paragraph" w:styleId="Title">
    <w:name w:val="Title"/>
    <w:basedOn w:val="Normal"/>
    <w:next w:val="Normal"/>
    <w:link w:val="TitleChar"/>
    <w:uiPriority w:val="10"/>
    <w:qFormat/>
    <w:rsid w:val="00735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971"/>
    <w:pPr>
      <w:spacing w:before="160"/>
      <w:jc w:val="center"/>
    </w:pPr>
    <w:rPr>
      <w:i/>
      <w:iCs/>
      <w:color w:val="404040" w:themeColor="text1" w:themeTint="BF"/>
    </w:rPr>
  </w:style>
  <w:style w:type="character" w:customStyle="1" w:styleId="QuoteChar">
    <w:name w:val="Quote Char"/>
    <w:basedOn w:val="DefaultParagraphFont"/>
    <w:link w:val="Quote"/>
    <w:uiPriority w:val="29"/>
    <w:rsid w:val="00735971"/>
    <w:rPr>
      <w:i/>
      <w:iCs/>
      <w:color w:val="404040" w:themeColor="text1" w:themeTint="BF"/>
    </w:rPr>
  </w:style>
  <w:style w:type="paragraph" w:styleId="ListParagraph">
    <w:name w:val="List Paragraph"/>
    <w:basedOn w:val="Normal"/>
    <w:uiPriority w:val="34"/>
    <w:qFormat/>
    <w:rsid w:val="00735971"/>
    <w:pPr>
      <w:ind w:left="720"/>
      <w:contextualSpacing/>
    </w:pPr>
  </w:style>
  <w:style w:type="character" w:styleId="IntenseEmphasis">
    <w:name w:val="Intense Emphasis"/>
    <w:basedOn w:val="DefaultParagraphFont"/>
    <w:uiPriority w:val="21"/>
    <w:qFormat/>
    <w:rsid w:val="00735971"/>
    <w:rPr>
      <w:i/>
      <w:iCs/>
      <w:color w:val="0F4761" w:themeColor="accent1" w:themeShade="BF"/>
    </w:rPr>
  </w:style>
  <w:style w:type="paragraph" w:styleId="IntenseQuote">
    <w:name w:val="Intense Quote"/>
    <w:basedOn w:val="Normal"/>
    <w:next w:val="Normal"/>
    <w:link w:val="IntenseQuoteChar"/>
    <w:uiPriority w:val="30"/>
    <w:qFormat/>
    <w:rsid w:val="00735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971"/>
    <w:rPr>
      <w:i/>
      <w:iCs/>
      <w:color w:val="0F4761" w:themeColor="accent1" w:themeShade="BF"/>
    </w:rPr>
  </w:style>
  <w:style w:type="character" w:styleId="IntenseReference">
    <w:name w:val="Intense Reference"/>
    <w:basedOn w:val="DefaultParagraphFont"/>
    <w:uiPriority w:val="32"/>
    <w:qFormat/>
    <w:rsid w:val="00735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Macer</dc:creator>
  <cp:keywords/>
  <dc:description/>
  <cp:lastModifiedBy>Liz PEARSON</cp:lastModifiedBy>
  <cp:revision>2</cp:revision>
  <dcterms:created xsi:type="dcterms:W3CDTF">2025-11-26T14:33:00Z</dcterms:created>
  <dcterms:modified xsi:type="dcterms:W3CDTF">2025-11-26T14:33:00Z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6fefe73f-9cdc-4da3-b0b7-e2fbb1f85fb4</vt:lpwstr>
  </property>
</Properties>
</file>